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0A18" w14:textId="77777777" w:rsidR="00C44C4D" w:rsidRPr="005D47D1" w:rsidRDefault="00C44C4D" w:rsidP="00C44C4D">
      <w:pPr>
        <w:rPr>
          <w:rFonts w:ascii="Arial Narrow" w:hAnsi="Arial Narrow"/>
          <w:b/>
          <w:sz w:val="28"/>
          <w:szCs w:val="28"/>
        </w:rPr>
      </w:pPr>
      <w:r w:rsidRPr="005D47D1">
        <w:rPr>
          <w:rFonts w:ascii="Arial Narrow" w:hAnsi="Arial Narrow"/>
          <w:b/>
          <w:sz w:val="28"/>
          <w:szCs w:val="28"/>
        </w:rPr>
        <w:t>Emendamento al progetto di Legge n. ____</w:t>
      </w:r>
    </w:p>
    <w:p w14:paraId="3C66E547" w14:textId="77777777" w:rsidR="00C44C4D" w:rsidRPr="00C44C4D" w:rsidRDefault="00C44C4D" w:rsidP="00C44C4D">
      <w:pPr>
        <w:rPr>
          <w:rFonts w:ascii="Arial Narrow" w:hAnsi="Arial Narrow"/>
          <w:sz w:val="28"/>
          <w:szCs w:val="28"/>
        </w:rPr>
      </w:pPr>
      <w:r w:rsidRPr="00C44C4D">
        <w:rPr>
          <w:rFonts w:ascii="Arial Narrow" w:hAnsi="Arial Narrow"/>
          <w:sz w:val="28"/>
          <w:szCs w:val="28"/>
        </w:rPr>
        <w:t>Dopo l’articolo ____ è introdotto il seguente articolo: “</w:t>
      </w:r>
    </w:p>
    <w:p w14:paraId="5276B53A" w14:textId="77777777" w:rsidR="00C44C4D" w:rsidRPr="00C44C4D" w:rsidRDefault="00C44C4D" w:rsidP="00C44C4D">
      <w:pPr>
        <w:jc w:val="center"/>
        <w:rPr>
          <w:rFonts w:ascii="Arial Narrow" w:hAnsi="Arial Narrow"/>
          <w:b/>
          <w:sz w:val="28"/>
          <w:szCs w:val="28"/>
        </w:rPr>
      </w:pPr>
      <w:r w:rsidRPr="00C44C4D">
        <w:rPr>
          <w:rFonts w:ascii="Arial Narrow" w:hAnsi="Arial Narrow"/>
          <w:b/>
          <w:sz w:val="28"/>
          <w:szCs w:val="28"/>
        </w:rPr>
        <w:t>Art. ___-Bis</w:t>
      </w:r>
      <w:r w:rsidRPr="00C44C4D">
        <w:rPr>
          <w:rFonts w:ascii="Arial Narrow" w:hAnsi="Arial Narrow"/>
          <w:b/>
          <w:sz w:val="28"/>
          <w:szCs w:val="28"/>
        </w:rPr>
        <w:br/>
        <w:t>(Costituzione fondo per erogare sostegni a famiglie e imprese contro il caro energia)</w:t>
      </w:r>
    </w:p>
    <w:p w14:paraId="2F134325" w14:textId="77777777" w:rsidR="00C44C4D" w:rsidRPr="00C44C4D" w:rsidRDefault="00C44C4D" w:rsidP="00C44C4D">
      <w:pPr>
        <w:pStyle w:val="Paragrafoelenco"/>
        <w:numPr>
          <w:ilvl w:val="0"/>
          <w:numId w:val="1"/>
        </w:numPr>
        <w:jc w:val="both"/>
        <w:rPr>
          <w:rFonts w:ascii="Arial Narrow" w:hAnsi="Arial Narrow"/>
          <w:sz w:val="28"/>
          <w:szCs w:val="28"/>
        </w:rPr>
      </w:pPr>
      <w:r w:rsidRPr="00C44C4D">
        <w:rPr>
          <w:rFonts w:ascii="Arial Narrow" w:hAnsi="Arial Narrow"/>
          <w:sz w:val="28"/>
          <w:szCs w:val="28"/>
        </w:rPr>
        <w:t xml:space="preserve">Al fine di sostenere le famiglie abruzzesi e le imprese aventi sede operativa in Abruzzo, </w:t>
      </w:r>
      <w:r w:rsidRPr="00C44C4D">
        <w:rPr>
          <w:rFonts w:ascii="Arial Narrow" w:hAnsi="Arial Narrow"/>
          <w:b/>
          <w:sz w:val="28"/>
          <w:szCs w:val="28"/>
          <w:u w:val="single"/>
        </w:rPr>
        <w:t>a fronte dell'aumento dei costi dell'energia termica ed elettrica registrati nel biennio 2021-2022, è istituito</w:t>
      </w:r>
      <w:r w:rsidRPr="00C44C4D">
        <w:rPr>
          <w:rFonts w:ascii="Arial Narrow" w:hAnsi="Arial Narrow"/>
          <w:sz w:val="28"/>
          <w:szCs w:val="28"/>
        </w:rPr>
        <w:t xml:space="preserve"> nello stato di previsione del Bilancio di previsione finanziario 2022-2024 della Regione Abruzzo, </w:t>
      </w:r>
      <w:r w:rsidRPr="00C44C4D">
        <w:rPr>
          <w:rFonts w:ascii="Arial Narrow" w:hAnsi="Arial Narrow"/>
          <w:b/>
          <w:sz w:val="28"/>
          <w:szCs w:val="28"/>
          <w:u w:val="single"/>
        </w:rPr>
        <w:t>un apposito fondo</w:t>
      </w:r>
      <w:r w:rsidRPr="00C44C4D">
        <w:rPr>
          <w:rFonts w:ascii="Arial Narrow" w:hAnsi="Arial Narrow"/>
          <w:sz w:val="28"/>
          <w:szCs w:val="28"/>
        </w:rPr>
        <w:t xml:space="preserve">, con una dotazione iniziale, per l’anno 2022 di euro 14.213.572,93, per l’anno 2023 di euro 36.699.087,70, per l’anno 2024 di euro 43.024.392,40, </w:t>
      </w:r>
      <w:r w:rsidRPr="00C44C4D">
        <w:rPr>
          <w:rFonts w:ascii="Arial Narrow" w:hAnsi="Arial Narrow"/>
          <w:b/>
          <w:sz w:val="28"/>
          <w:szCs w:val="28"/>
          <w:u w:val="single"/>
        </w:rPr>
        <w:t>per il riconoscimento</w:t>
      </w:r>
      <w:r w:rsidRPr="00C44C4D">
        <w:rPr>
          <w:rFonts w:ascii="Arial Narrow" w:hAnsi="Arial Narrow"/>
          <w:sz w:val="28"/>
          <w:szCs w:val="28"/>
        </w:rPr>
        <w:t>, nei limiti di spesa del fondo di cui al presente articolo,</w:t>
      </w:r>
      <w:r w:rsidRPr="00C44C4D">
        <w:rPr>
          <w:rFonts w:ascii="Arial Narrow" w:hAnsi="Arial Narrow"/>
          <w:b/>
          <w:sz w:val="28"/>
          <w:szCs w:val="28"/>
          <w:u w:val="single"/>
        </w:rPr>
        <w:t xml:space="preserve"> di contributi a fondo perduto</w:t>
      </w:r>
      <w:r w:rsidRPr="00C44C4D">
        <w:rPr>
          <w:rFonts w:ascii="Arial Narrow" w:hAnsi="Arial Narrow"/>
          <w:sz w:val="28"/>
          <w:szCs w:val="28"/>
        </w:rPr>
        <w:t xml:space="preserve">: </w:t>
      </w:r>
    </w:p>
    <w:p w14:paraId="1103AA73" w14:textId="77777777" w:rsidR="00C44C4D" w:rsidRPr="00C44C4D" w:rsidRDefault="00C44C4D" w:rsidP="00C44C4D">
      <w:pPr>
        <w:pStyle w:val="Paragrafoelenco"/>
        <w:numPr>
          <w:ilvl w:val="1"/>
          <w:numId w:val="1"/>
        </w:numPr>
        <w:jc w:val="both"/>
        <w:rPr>
          <w:rFonts w:ascii="Arial Narrow" w:hAnsi="Arial Narrow"/>
          <w:sz w:val="28"/>
          <w:szCs w:val="28"/>
        </w:rPr>
      </w:pPr>
      <w:r w:rsidRPr="00C44C4D">
        <w:rPr>
          <w:rFonts w:ascii="Arial Narrow" w:hAnsi="Arial Narrow"/>
          <w:b/>
          <w:sz w:val="28"/>
          <w:szCs w:val="28"/>
          <w:u w:val="single"/>
        </w:rPr>
        <w:t>per le famiglie</w:t>
      </w:r>
      <w:r w:rsidRPr="00C44C4D">
        <w:rPr>
          <w:rFonts w:ascii="Arial Narrow" w:hAnsi="Arial Narrow"/>
          <w:sz w:val="28"/>
          <w:szCs w:val="28"/>
        </w:rPr>
        <w:t xml:space="preserve">, in relazione ai valori dell’ISEE e al numero di componenti il nucleo familiare richiedente, dando priorità a quelle residenti nei comuni montani; </w:t>
      </w:r>
    </w:p>
    <w:p w14:paraId="54AEC69B" w14:textId="77777777" w:rsidR="00C44C4D" w:rsidRPr="00C44C4D" w:rsidRDefault="00C44C4D" w:rsidP="00C44C4D">
      <w:pPr>
        <w:pStyle w:val="Paragrafoelenco"/>
        <w:numPr>
          <w:ilvl w:val="1"/>
          <w:numId w:val="1"/>
        </w:numPr>
        <w:jc w:val="both"/>
        <w:rPr>
          <w:rFonts w:ascii="Arial Narrow" w:hAnsi="Arial Narrow"/>
          <w:sz w:val="28"/>
          <w:szCs w:val="28"/>
        </w:rPr>
      </w:pPr>
      <w:r w:rsidRPr="00C44C4D">
        <w:rPr>
          <w:rFonts w:ascii="Arial Narrow" w:hAnsi="Arial Narrow"/>
          <w:b/>
          <w:sz w:val="28"/>
          <w:szCs w:val="28"/>
          <w:u w:val="single"/>
        </w:rPr>
        <w:t>per le imprese</w:t>
      </w:r>
      <w:r w:rsidRPr="00C44C4D">
        <w:rPr>
          <w:rFonts w:ascii="Arial Narrow" w:hAnsi="Arial Narrow"/>
          <w:sz w:val="28"/>
          <w:szCs w:val="28"/>
        </w:rPr>
        <w:t>, a parziale copertura dei costi per investimenti in beni strumentali finalizzati alla riduzione dei consumi energetici e all’installazione di impianti di produzione di energia da fonte rinnovabile per l’autoconsumo, dando priorità alle tecnologie ad alta efficienza.</w:t>
      </w:r>
    </w:p>
    <w:p w14:paraId="5006176D" w14:textId="77777777" w:rsidR="00C44C4D" w:rsidRPr="00C44C4D" w:rsidRDefault="00C44C4D" w:rsidP="00C44C4D">
      <w:pPr>
        <w:pStyle w:val="Paragrafoelenco"/>
        <w:numPr>
          <w:ilvl w:val="0"/>
          <w:numId w:val="1"/>
        </w:numPr>
        <w:jc w:val="both"/>
        <w:rPr>
          <w:rFonts w:ascii="Arial Narrow" w:hAnsi="Arial Narrow"/>
          <w:sz w:val="28"/>
          <w:szCs w:val="28"/>
        </w:rPr>
      </w:pPr>
      <w:r w:rsidRPr="00C44C4D">
        <w:rPr>
          <w:rFonts w:ascii="Arial Narrow" w:hAnsi="Arial Narrow"/>
          <w:sz w:val="28"/>
          <w:szCs w:val="28"/>
        </w:rPr>
        <w:t>Con provvedimento della Giunta regionale, da adottare entro 30 giorni dall’approvazione della presente Legge, previa acquisizione del parere favorevole della Commissione consiliare competente del Consiglio regionale d’Abruzzo, sono individuate le modalità e i termini di presentazione delle richieste di erogazione dei contributi di cui al presente comma, le relative modalità di erogazione, nonché le procedure di controllo.</w:t>
      </w:r>
    </w:p>
    <w:p w14:paraId="14BD98C0" w14:textId="77777777" w:rsidR="00C44C4D" w:rsidRPr="00C44C4D" w:rsidRDefault="00C44C4D" w:rsidP="00C44C4D">
      <w:pPr>
        <w:pStyle w:val="Paragrafoelenco"/>
        <w:numPr>
          <w:ilvl w:val="0"/>
          <w:numId w:val="1"/>
        </w:numPr>
        <w:jc w:val="both"/>
        <w:rPr>
          <w:rFonts w:ascii="Arial Narrow" w:hAnsi="Arial Narrow"/>
          <w:sz w:val="28"/>
          <w:szCs w:val="28"/>
        </w:rPr>
      </w:pPr>
      <w:r w:rsidRPr="00C44C4D">
        <w:rPr>
          <w:rFonts w:ascii="Arial Narrow" w:hAnsi="Arial Narrow"/>
          <w:sz w:val="28"/>
          <w:szCs w:val="28"/>
        </w:rPr>
        <w:t xml:space="preserve">Tali contributi sono cumulabili con altre agevolazioni, statali e regionali, che abbiano ad oggetto i medesimi costi, a condizione che tale cumulo non porti al superamento del costo sostenuto. </w:t>
      </w:r>
    </w:p>
    <w:p w14:paraId="4899C3A8" w14:textId="77777777" w:rsidR="00C44C4D" w:rsidRPr="00C44C4D" w:rsidRDefault="00C44C4D" w:rsidP="00C44C4D">
      <w:pPr>
        <w:pStyle w:val="Paragrafoelenco"/>
        <w:numPr>
          <w:ilvl w:val="0"/>
          <w:numId w:val="1"/>
        </w:numPr>
        <w:jc w:val="both"/>
        <w:rPr>
          <w:rFonts w:ascii="Arial Narrow" w:hAnsi="Arial Narrow"/>
          <w:sz w:val="28"/>
          <w:szCs w:val="28"/>
        </w:rPr>
      </w:pPr>
      <w:r w:rsidRPr="00C44C4D">
        <w:rPr>
          <w:rFonts w:ascii="Arial Narrow" w:hAnsi="Arial Narrow"/>
          <w:b/>
          <w:sz w:val="28"/>
          <w:szCs w:val="28"/>
          <w:u w:val="single"/>
        </w:rPr>
        <w:t>Ai fini della copertura della spesa di cui al presente articolo, pari ad euro 93.937.053,03</w:t>
      </w:r>
      <w:r w:rsidRPr="00C44C4D">
        <w:rPr>
          <w:rFonts w:ascii="Arial Narrow" w:hAnsi="Arial Narrow"/>
          <w:sz w:val="28"/>
          <w:szCs w:val="28"/>
        </w:rPr>
        <w:t>, è apportata la seguente variazione al bilancio regionale 2022-2024</w:t>
      </w:r>
    </w:p>
    <w:p w14:paraId="4DF3EFED" w14:textId="77777777" w:rsidR="00C44C4D" w:rsidRPr="00C44C4D" w:rsidRDefault="00C44C4D" w:rsidP="00C44C4D">
      <w:pPr>
        <w:pStyle w:val="Paragrafoelenco"/>
        <w:numPr>
          <w:ilvl w:val="1"/>
          <w:numId w:val="1"/>
        </w:numPr>
        <w:jc w:val="both"/>
        <w:rPr>
          <w:rFonts w:ascii="Arial Narrow" w:hAnsi="Arial Narrow"/>
          <w:sz w:val="28"/>
          <w:szCs w:val="28"/>
        </w:rPr>
      </w:pPr>
      <w:r w:rsidRPr="00C44C4D">
        <w:rPr>
          <w:rFonts w:ascii="Arial Narrow" w:hAnsi="Arial Narrow"/>
          <w:sz w:val="28"/>
          <w:szCs w:val="28"/>
        </w:rPr>
        <w:t xml:space="preserve"> esercizio 2022, per competenza e cassa:</w:t>
      </w:r>
    </w:p>
    <w:p w14:paraId="22484685" w14:textId="77777777" w:rsidR="00C44C4D" w:rsidRPr="00C44C4D" w:rsidRDefault="00C44C4D" w:rsidP="00C44C4D">
      <w:pPr>
        <w:pStyle w:val="Paragrafoelenco"/>
        <w:numPr>
          <w:ilvl w:val="2"/>
          <w:numId w:val="1"/>
        </w:numPr>
        <w:jc w:val="both"/>
        <w:rPr>
          <w:rFonts w:ascii="Arial Narrow" w:hAnsi="Arial Narrow"/>
          <w:sz w:val="28"/>
          <w:szCs w:val="28"/>
        </w:rPr>
      </w:pPr>
      <w:r w:rsidRPr="00C44C4D">
        <w:rPr>
          <w:rFonts w:ascii="Arial Narrow" w:hAnsi="Arial Narrow"/>
          <w:sz w:val="28"/>
          <w:szCs w:val="28"/>
        </w:rPr>
        <w:t>in aumento parte Spesa: Missione 14 (</w:t>
      </w:r>
      <w:r w:rsidRPr="00C44C4D">
        <w:rPr>
          <w:rFonts w:ascii="Arial Narrow" w:hAnsi="Arial Narrow"/>
          <w:bCs/>
          <w:i/>
          <w:iCs/>
          <w:sz w:val="28"/>
          <w:szCs w:val="28"/>
        </w:rPr>
        <w:t>Sviluppo economico e competitività</w:t>
      </w:r>
      <w:r w:rsidRPr="00C44C4D">
        <w:rPr>
          <w:rFonts w:ascii="Arial Narrow" w:hAnsi="Arial Narrow"/>
          <w:sz w:val="28"/>
          <w:szCs w:val="28"/>
        </w:rPr>
        <w:t>), Programma 05 (Politica regionale unitaria per lo sviluppo economico e la competitività), Titolo 1, capitolo di nuova istituzione denominato "</w:t>
      </w:r>
      <w:r w:rsidRPr="00C44C4D">
        <w:rPr>
          <w:rFonts w:ascii="Arial Narrow" w:hAnsi="Arial Narrow"/>
          <w:i/>
          <w:sz w:val="28"/>
          <w:szCs w:val="28"/>
        </w:rPr>
        <w:t>Misure straordinarie per fronteggiare caro energia</w:t>
      </w:r>
      <w:r w:rsidRPr="00C44C4D">
        <w:rPr>
          <w:rFonts w:ascii="Arial Narrow" w:hAnsi="Arial Narrow"/>
          <w:sz w:val="28"/>
          <w:szCs w:val="28"/>
        </w:rPr>
        <w:t>", per euro 14.213.572,93;</w:t>
      </w:r>
    </w:p>
    <w:p w14:paraId="49C6139D" w14:textId="77777777" w:rsidR="00C44C4D" w:rsidRPr="00C44C4D" w:rsidRDefault="00C44C4D" w:rsidP="00C44C4D">
      <w:pPr>
        <w:pStyle w:val="Paragrafoelenco"/>
        <w:numPr>
          <w:ilvl w:val="2"/>
          <w:numId w:val="1"/>
        </w:numPr>
        <w:jc w:val="both"/>
        <w:rPr>
          <w:rFonts w:ascii="Arial Narrow" w:hAnsi="Arial Narrow"/>
          <w:sz w:val="28"/>
          <w:szCs w:val="28"/>
        </w:rPr>
      </w:pPr>
      <w:r w:rsidRPr="00C44C4D">
        <w:rPr>
          <w:rFonts w:ascii="Arial Narrow" w:hAnsi="Arial Narrow"/>
          <w:sz w:val="28"/>
          <w:szCs w:val="28"/>
        </w:rPr>
        <w:t>in diminuzione parte Spesa: Missione 00 (Missione per disavanzo), Programma 00 (Programma per disavanzo), Titolo 0 (Titolo per disavanzo) per euro 5.012.193,17;</w:t>
      </w:r>
    </w:p>
    <w:p w14:paraId="4EEB49D2" w14:textId="77777777" w:rsidR="00C44C4D" w:rsidRPr="00C44C4D" w:rsidRDefault="00C44C4D" w:rsidP="00C44C4D">
      <w:pPr>
        <w:pStyle w:val="Paragrafoelenco"/>
        <w:numPr>
          <w:ilvl w:val="2"/>
          <w:numId w:val="1"/>
        </w:numPr>
        <w:jc w:val="both"/>
        <w:rPr>
          <w:rFonts w:ascii="Arial Narrow" w:hAnsi="Arial Narrow"/>
          <w:sz w:val="28"/>
          <w:szCs w:val="28"/>
        </w:rPr>
      </w:pPr>
      <w:r w:rsidRPr="00C44C4D">
        <w:rPr>
          <w:rFonts w:ascii="Arial Narrow" w:hAnsi="Arial Narrow"/>
          <w:sz w:val="28"/>
          <w:szCs w:val="28"/>
        </w:rPr>
        <w:lastRenderedPageBreak/>
        <w:t>in aumento parte Entrata: Titolo 3, Tipologia 200, Categoria 02, per euro 9.201.379,76.</w:t>
      </w:r>
    </w:p>
    <w:p w14:paraId="337BEAAF" w14:textId="49493BE7" w:rsidR="00C44C4D" w:rsidRDefault="00C44C4D" w:rsidP="00C44C4D">
      <w:pPr>
        <w:pStyle w:val="Paragrafoelenco"/>
        <w:numPr>
          <w:ilvl w:val="1"/>
          <w:numId w:val="1"/>
        </w:numPr>
        <w:jc w:val="both"/>
        <w:rPr>
          <w:rFonts w:ascii="Arial Narrow" w:hAnsi="Arial Narrow"/>
          <w:sz w:val="28"/>
          <w:szCs w:val="28"/>
        </w:rPr>
      </w:pPr>
      <w:r w:rsidRPr="00C44C4D">
        <w:rPr>
          <w:rFonts w:ascii="Arial Narrow" w:hAnsi="Arial Narrow"/>
          <w:sz w:val="28"/>
          <w:szCs w:val="28"/>
        </w:rPr>
        <w:t>Esercizio 2023, per sola competenza:</w:t>
      </w:r>
    </w:p>
    <w:p w14:paraId="52B69CE1" w14:textId="77777777" w:rsidR="00823DB6" w:rsidRPr="00823DB6" w:rsidRDefault="00823DB6" w:rsidP="00823DB6">
      <w:pPr>
        <w:pStyle w:val="Paragrafoelenco"/>
        <w:numPr>
          <w:ilvl w:val="2"/>
          <w:numId w:val="1"/>
        </w:numPr>
        <w:jc w:val="both"/>
        <w:rPr>
          <w:rFonts w:ascii="Arial Narrow" w:hAnsi="Arial Narrow"/>
          <w:sz w:val="28"/>
          <w:szCs w:val="28"/>
        </w:rPr>
      </w:pPr>
      <w:r w:rsidRPr="00823DB6">
        <w:rPr>
          <w:rFonts w:ascii="Arial Narrow" w:hAnsi="Arial Narrow"/>
          <w:sz w:val="28"/>
          <w:szCs w:val="28"/>
        </w:rPr>
        <w:t>in aumento parte Spesa: Missione 14 (</w:t>
      </w:r>
      <w:r w:rsidRPr="00823DB6">
        <w:rPr>
          <w:rFonts w:ascii="Arial Narrow" w:hAnsi="Arial Narrow"/>
          <w:bCs/>
          <w:i/>
          <w:iCs/>
          <w:sz w:val="28"/>
          <w:szCs w:val="28"/>
        </w:rPr>
        <w:t>Sviluppo economico e competitività</w:t>
      </w:r>
      <w:r w:rsidRPr="00823DB6">
        <w:rPr>
          <w:rFonts w:ascii="Arial Narrow" w:hAnsi="Arial Narrow"/>
          <w:sz w:val="28"/>
          <w:szCs w:val="28"/>
        </w:rPr>
        <w:t>), Programma 05 (Politica regionale unitaria per lo sviluppo economico e la competitività), Titolo 1, capitolo di nuova istituzione denominato "</w:t>
      </w:r>
      <w:r w:rsidRPr="00823DB6">
        <w:rPr>
          <w:rFonts w:ascii="Arial Narrow" w:hAnsi="Arial Narrow"/>
          <w:i/>
          <w:sz w:val="28"/>
          <w:szCs w:val="28"/>
        </w:rPr>
        <w:t>Misure straordinarie per fronteggiare caro energia</w:t>
      </w:r>
      <w:r w:rsidRPr="00823DB6">
        <w:rPr>
          <w:rFonts w:ascii="Arial Narrow" w:hAnsi="Arial Narrow"/>
          <w:sz w:val="28"/>
          <w:szCs w:val="28"/>
        </w:rPr>
        <w:t>", per euro 36.699.087,70;</w:t>
      </w:r>
    </w:p>
    <w:p w14:paraId="198BF2AC" w14:textId="70841C97" w:rsidR="00823DB6" w:rsidRPr="00823DB6" w:rsidRDefault="00823DB6" w:rsidP="00823DB6">
      <w:pPr>
        <w:pStyle w:val="Paragrafoelenco"/>
        <w:numPr>
          <w:ilvl w:val="2"/>
          <w:numId w:val="1"/>
        </w:numPr>
        <w:rPr>
          <w:rFonts w:ascii="Arial Narrow" w:hAnsi="Arial Narrow"/>
          <w:sz w:val="28"/>
          <w:szCs w:val="28"/>
        </w:rPr>
      </w:pPr>
      <w:r w:rsidRPr="00823DB6">
        <w:rPr>
          <w:rFonts w:ascii="Arial Narrow" w:hAnsi="Arial Narrow"/>
          <w:sz w:val="28"/>
          <w:szCs w:val="28"/>
        </w:rPr>
        <w:t>in diminuzione parte Spesa: Missione 00 (Missione per disavanzo), Programma 00 (Programma per disavanzo), Titolo 0 (Titolo per disavanzo) per euro 36.699.087,70;</w:t>
      </w:r>
    </w:p>
    <w:p w14:paraId="50AAFC2A" w14:textId="3DE61B56" w:rsidR="00C44C4D" w:rsidRDefault="00C44C4D" w:rsidP="00C44C4D">
      <w:pPr>
        <w:pStyle w:val="Paragrafoelenco"/>
        <w:numPr>
          <w:ilvl w:val="1"/>
          <w:numId w:val="1"/>
        </w:numPr>
        <w:jc w:val="both"/>
        <w:rPr>
          <w:rFonts w:ascii="Arial Narrow" w:hAnsi="Arial Narrow"/>
          <w:sz w:val="28"/>
          <w:szCs w:val="28"/>
        </w:rPr>
      </w:pPr>
      <w:r w:rsidRPr="00C44C4D">
        <w:rPr>
          <w:rFonts w:ascii="Arial Narrow" w:hAnsi="Arial Narrow"/>
          <w:sz w:val="28"/>
          <w:szCs w:val="28"/>
        </w:rPr>
        <w:t>Esercizio 2024, per sola competenza:</w:t>
      </w:r>
    </w:p>
    <w:p w14:paraId="7F318498" w14:textId="77777777" w:rsidR="00823DB6" w:rsidRPr="00823DB6" w:rsidRDefault="00823DB6" w:rsidP="00823DB6">
      <w:pPr>
        <w:pStyle w:val="Paragrafoelenco"/>
        <w:numPr>
          <w:ilvl w:val="2"/>
          <w:numId w:val="1"/>
        </w:numPr>
        <w:jc w:val="both"/>
        <w:rPr>
          <w:rFonts w:ascii="Arial Narrow" w:hAnsi="Arial Narrow"/>
          <w:sz w:val="28"/>
          <w:szCs w:val="28"/>
        </w:rPr>
      </w:pPr>
      <w:r w:rsidRPr="00823DB6">
        <w:rPr>
          <w:rFonts w:ascii="Arial Narrow" w:hAnsi="Arial Narrow"/>
          <w:sz w:val="28"/>
          <w:szCs w:val="28"/>
        </w:rPr>
        <w:t>in aumento parte Spesa: Missione 14 (</w:t>
      </w:r>
      <w:r w:rsidRPr="00823DB6">
        <w:rPr>
          <w:rFonts w:ascii="Arial Narrow" w:hAnsi="Arial Narrow"/>
          <w:bCs/>
          <w:i/>
          <w:iCs/>
          <w:sz w:val="28"/>
          <w:szCs w:val="28"/>
        </w:rPr>
        <w:t>Sviluppo economico e competitività</w:t>
      </w:r>
      <w:r w:rsidRPr="00823DB6">
        <w:rPr>
          <w:rFonts w:ascii="Arial Narrow" w:hAnsi="Arial Narrow"/>
          <w:sz w:val="28"/>
          <w:szCs w:val="28"/>
        </w:rPr>
        <w:t>), Programma 05 (Politica regionale unitaria per lo sviluppo economico e la competitività), Titolo 1, capitolo di nuova istituzione denominato "</w:t>
      </w:r>
      <w:r w:rsidRPr="00823DB6">
        <w:rPr>
          <w:rFonts w:ascii="Arial Narrow" w:hAnsi="Arial Narrow"/>
          <w:i/>
          <w:sz w:val="28"/>
          <w:szCs w:val="28"/>
        </w:rPr>
        <w:t>Misure straordinarie per fronteggiare caro energia</w:t>
      </w:r>
      <w:r w:rsidRPr="00823DB6">
        <w:rPr>
          <w:rFonts w:ascii="Arial Narrow" w:hAnsi="Arial Narrow"/>
          <w:sz w:val="28"/>
          <w:szCs w:val="28"/>
        </w:rPr>
        <w:t>", per euro 43.024.392,40;</w:t>
      </w:r>
    </w:p>
    <w:p w14:paraId="3FB38B42" w14:textId="0EFAC48B" w:rsidR="00823DB6" w:rsidRPr="00823DB6" w:rsidRDefault="00823DB6" w:rsidP="00823DB6">
      <w:pPr>
        <w:pStyle w:val="Paragrafoelenco"/>
        <w:numPr>
          <w:ilvl w:val="2"/>
          <w:numId w:val="1"/>
        </w:numPr>
        <w:rPr>
          <w:rFonts w:ascii="Arial Narrow" w:hAnsi="Arial Narrow"/>
          <w:sz w:val="28"/>
          <w:szCs w:val="28"/>
        </w:rPr>
      </w:pPr>
      <w:r w:rsidRPr="00823DB6">
        <w:rPr>
          <w:rFonts w:ascii="Arial Narrow" w:hAnsi="Arial Narrow"/>
          <w:sz w:val="28"/>
          <w:szCs w:val="28"/>
        </w:rPr>
        <w:t>in diminuzione parte Spesa: Missione 00 (Missione per disavanzo), Programma 00 (Programma per disavanzo), Titolo 0 (Titolo per disavanzo) per euro 43.024.392,40;</w:t>
      </w:r>
    </w:p>
    <w:p w14:paraId="5E02C2C8" w14:textId="76CFD1B6" w:rsidR="00C44C4D" w:rsidRPr="00C44C4D" w:rsidRDefault="00C44C4D" w:rsidP="00C44C4D">
      <w:pPr>
        <w:pStyle w:val="Paragrafoelenco"/>
        <w:numPr>
          <w:ilvl w:val="0"/>
          <w:numId w:val="1"/>
        </w:numPr>
        <w:jc w:val="both"/>
        <w:rPr>
          <w:rFonts w:ascii="Arial Narrow" w:hAnsi="Arial Narrow"/>
          <w:sz w:val="28"/>
          <w:szCs w:val="28"/>
        </w:rPr>
      </w:pPr>
      <w:r w:rsidRPr="00C44C4D">
        <w:rPr>
          <w:rFonts w:ascii="Arial Narrow" w:hAnsi="Arial Narrow"/>
          <w:sz w:val="28"/>
          <w:szCs w:val="28"/>
        </w:rPr>
        <w:t xml:space="preserve">L’utilizzo delle risorse indicate nel presente articolo può essere autorizzato esclusivamente ad avvenuta approvazione con Legge Regionale del Rendiconto della Gestione per l’esercizio 2021 e previo accertamento delle maggiori entrate di cui al comma 4, lettera </w:t>
      </w:r>
      <w:r w:rsidR="005D47D1">
        <w:rPr>
          <w:rFonts w:ascii="Arial Narrow" w:hAnsi="Arial Narrow"/>
          <w:sz w:val="28"/>
          <w:szCs w:val="28"/>
        </w:rPr>
        <w:t>a</w:t>
      </w:r>
      <w:r w:rsidRPr="00C44C4D">
        <w:rPr>
          <w:rFonts w:ascii="Arial Narrow" w:hAnsi="Arial Narrow"/>
          <w:sz w:val="28"/>
          <w:szCs w:val="28"/>
        </w:rPr>
        <w:t>)</w:t>
      </w:r>
      <w:r w:rsidR="005D47D1">
        <w:rPr>
          <w:rFonts w:ascii="Arial Narrow" w:hAnsi="Arial Narrow"/>
          <w:sz w:val="28"/>
          <w:szCs w:val="28"/>
        </w:rPr>
        <w:t>, punto 3</w:t>
      </w:r>
      <w:bookmarkStart w:id="0" w:name="_GoBack"/>
      <w:bookmarkEnd w:id="0"/>
      <w:r w:rsidRPr="00C44C4D">
        <w:rPr>
          <w:rFonts w:ascii="Arial Narrow" w:hAnsi="Arial Narrow"/>
          <w:sz w:val="28"/>
          <w:szCs w:val="28"/>
        </w:rPr>
        <w:t>.</w:t>
      </w:r>
    </w:p>
    <w:p w14:paraId="2AF74F0B" w14:textId="77777777" w:rsidR="00C44C4D" w:rsidRPr="00C44C4D" w:rsidRDefault="00C44C4D" w:rsidP="00C44C4D">
      <w:pPr>
        <w:pStyle w:val="Paragrafoelenco"/>
        <w:numPr>
          <w:ilvl w:val="0"/>
          <w:numId w:val="1"/>
        </w:numPr>
        <w:jc w:val="both"/>
        <w:rPr>
          <w:rFonts w:ascii="Arial Narrow" w:hAnsi="Arial Narrow"/>
          <w:b/>
          <w:sz w:val="28"/>
          <w:szCs w:val="28"/>
          <w:u w:val="single"/>
        </w:rPr>
      </w:pPr>
      <w:r w:rsidRPr="00C44C4D">
        <w:rPr>
          <w:rFonts w:ascii="Arial Narrow" w:hAnsi="Arial Narrow"/>
          <w:b/>
          <w:sz w:val="28"/>
          <w:szCs w:val="28"/>
          <w:u w:val="single"/>
        </w:rPr>
        <w:t xml:space="preserve">Il fondo di cui al presente articolo è integrabile con le risorse provenienti dai Fondi strutturali e di investimento europei (Fondi SIE) non ancora oggetto di impegno e non ancora spesi. </w:t>
      </w:r>
    </w:p>
    <w:p w14:paraId="6CA03169" w14:textId="77777777" w:rsidR="00C44C4D" w:rsidRPr="00C44C4D" w:rsidRDefault="00C44C4D" w:rsidP="00C44C4D">
      <w:pPr>
        <w:jc w:val="both"/>
        <w:rPr>
          <w:rFonts w:ascii="Arial Narrow" w:hAnsi="Arial Narrow"/>
          <w:sz w:val="28"/>
          <w:szCs w:val="28"/>
        </w:rPr>
      </w:pPr>
    </w:p>
    <w:p w14:paraId="58946FDF" w14:textId="77777777" w:rsidR="00C44C4D" w:rsidRDefault="00C44C4D" w:rsidP="00C44C4D">
      <w:pPr>
        <w:jc w:val="center"/>
        <w:rPr>
          <w:rFonts w:ascii="Arial Narrow" w:hAnsi="Arial Narrow"/>
          <w:b/>
          <w:sz w:val="28"/>
          <w:szCs w:val="28"/>
        </w:rPr>
      </w:pPr>
      <w:r w:rsidRPr="00C44C4D">
        <w:rPr>
          <w:rFonts w:ascii="Arial Narrow" w:hAnsi="Arial Narrow"/>
          <w:b/>
          <w:sz w:val="28"/>
          <w:szCs w:val="28"/>
        </w:rPr>
        <w:t>Silvio Paolucci</w:t>
      </w:r>
    </w:p>
    <w:p w14:paraId="5194990D" w14:textId="77777777" w:rsidR="00C44C4D" w:rsidRDefault="00C44C4D" w:rsidP="00C44C4D">
      <w:pPr>
        <w:jc w:val="center"/>
        <w:rPr>
          <w:rFonts w:ascii="Arial Narrow" w:hAnsi="Arial Narrow"/>
          <w:b/>
          <w:sz w:val="28"/>
          <w:szCs w:val="28"/>
        </w:rPr>
        <w:sectPr w:rsidR="00C44C4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pPr>
    </w:p>
    <w:p w14:paraId="4CC055CC" w14:textId="77777777" w:rsidR="00C44C4D" w:rsidRDefault="00C44C4D" w:rsidP="00C44C4D">
      <w:pPr>
        <w:jc w:val="center"/>
        <w:rPr>
          <w:rFonts w:ascii="Arial Narrow" w:hAnsi="Arial Narrow"/>
          <w:b/>
          <w:sz w:val="28"/>
          <w:szCs w:val="28"/>
        </w:rPr>
      </w:pPr>
      <w:r>
        <w:rPr>
          <w:rFonts w:ascii="Arial Narrow" w:hAnsi="Arial Narrow"/>
          <w:b/>
          <w:sz w:val="28"/>
          <w:szCs w:val="28"/>
        </w:rPr>
        <w:t xml:space="preserve">Antonio </w:t>
      </w:r>
      <w:proofErr w:type="spellStart"/>
      <w:r>
        <w:rPr>
          <w:rFonts w:ascii="Arial Narrow" w:hAnsi="Arial Narrow"/>
          <w:b/>
          <w:sz w:val="28"/>
          <w:szCs w:val="28"/>
        </w:rPr>
        <w:t>Blasioli</w:t>
      </w:r>
      <w:proofErr w:type="spellEnd"/>
    </w:p>
    <w:p w14:paraId="09A8574B" w14:textId="77777777" w:rsidR="00C44C4D" w:rsidRDefault="00C44C4D" w:rsidP="00C44C4D">
      <w:pPr>
        <w:jc w:val="center"/>
        <w:rPr>
          <w:rFonts w:ascii="Arial Narrow" w:hAnsi="Arial Narrow"/>
          <w:b/>
          <w:sz w:val="28"/>
          <w:szCs w:val="28"/>
        </w:rPr>
      </w:pPr>
      <w:r>
        <w:rPr>
          <w:rFonts w:ascii="Arial Narrow" w:hAnsi="Arial Narrow"/>
          <w:b/>
          <w:sz w:val="28"/>
          <w:szCs w:val="28"/>
        </w:rPr>
        <w:t>Americo Di Benedetto</w:t>
      </w:r>
    </w:p>
    <w:p w14:paraId="1A29861B" w14:textId="77777777" w:rsidR="00C44C4D" w:rsidRDefault="00C44C4D" w:rsidP="00C44C4D">
      <w:pPr>
        <w:jc w:val="center"/>
        <w:rPr>
          <w:rFonts w:ascii="Arial Narrow" w:hAnsi="Arial Narrow"/>
          <w:b/>
          <w:sz w:val="28"/>
          <w:szCs w:val="28"/>
        </w:rPr>
      </w:pPr>
      <w:r>
        <w:rPr>
          <w:rFonts w:ascii="Arial Narrow" w:hAnsi="Arial Narrow"/>
          <w:b/>
          <w:sz w:val="28"/>
          <w:szCs w:val="28"/>
        </w:rPr>
        <w:t>Marianna Scoccia</w:t>
      </w:r>
    </w:p>
    <w:p w14:paraId="460A7394" w14:textId="77777777" w:rsidR="00C44C4D" w:rsidRDefault="00C44C4D" w:rsidP="00C44C4D">
      <w:pPr>
        <w:jc w:val="center"/>
        <w:rPr>
          <w:rFonts w:ascii="Arial Narrow" w:hAnsi="Arial Narrow"/>
          <w:b/>
          <w:sz w:val="28"/>
          <w:szCs w:val="28"/>
        </w:rPr>
      </w:pPr>
    </w:p>
    <w:p w14:paraId="1A00D055" w14:textId="77777777" w:rsidR="00C44C4D" w:rsidRDefault="00C44C4D" w:rsidP="00C44C4D">
      <w:pPr>
        <w:jc w:val="center"/>
        <w:rPr>
          <w:rFonts w:ascii="Arial Narrow" w:hAnsi="Arial Narrow"/>
          <w:b/>
          <w:sz w:val="28"/>
          <w:szCs w:val="28"/>
        </w:rPr>
      </w:pPr>
    </w:p>
    <w:p w14:paraId="2C44FF02" w14:textId="77777777" w:rsidR="00C44C4D" w:rsidRDefault="00C44C4D" w:rsidP="00C44C4D">
      <w:pPr>
        <w:jc w:val="center"/>
        <w:rPr>
          <w:rFonts w:ascii="Arial Narrow" w:hAnsi="Arial Narrow"/>
          <w:b/>
          <w:sz w:val="28"/>
          <w:szCs w:val="28"/>
        </w:rPr>
      </w:pPr>
      <w:r>
        <w:rPr>
          <w:rFonts w:ascii="Arial Narrow" w:hAnsi="Arial Narrow"/>
          <w:b/>
          <w:sz w:val="28"/>
          <w:szCs w:val="28"/>
        </w:rPr>
        <w:t xml:space="preserve">Sandro Mariani </w:t>
      </w:r>
    </w:p>
    <w:p w14:paraId="6DF7B70E" w14:textId="77777777" w:rsidR="00C44C4D" w:rsidRDefault="00C44C4D" w:rsidP="00C44C4D">
      <w:pPr>
        <w:jc w:val="center"/>
        <w:rPr>
          <w:rFonts w:ascii="Arial Narrow" w:hAnsi="Arial Narrow"/>
          <w:b/>
          <w:sz w:val="28"/>
          <w:szCs w:val="28"/>
        </w:rPr>
      </w:pPr>
      <w:r>
        <w:rPr>
          <w:rFonts w:ascii="Arial Narrow" w:hAnsi="Arial Narrow"/>
          <w:b/>
          <w:sz w:val="28"/>
          <w:szCs w:val="28"/>
        </w:rPr>
        <w:t>Dino Pepe</w:t>
      </w:r>
    </w:p>
    <w:p w14:paraId="5336914A" w14:textId="77777777" w:rsidR="00C44C4D" w:rsidRPr="00C44C4D" w:rsidRDefault="00C44C4D" w:rsidP="00C44C4D">
      <w:pPr>
        <w:jc w:val="center"/>
        <w:rPr>
          <w:rFonts w:ascii="Arial Narrow" w:hAnsi="Arial Narrow"/>
          <w:b/>
          <w:sz w:val="28"/>
          <w:szCs w:val="28"/>
        </w:rPr>
      </w:pPr>
      <w:r>
        <w:rPr>
          <w:rFonts w:ascii="Arial Narrow" w:hAnsi="Arial Narrow"/>
          <w:b/>
          <w:sz w:val="28"/>
          <w:szCs w:val="28"/>
        </w:rPr>
        <w:t>Pierpaolo Pietrucci</w:t>
      </w:r>
    </w:p>
    <w:sectPr w:rsidR="00C44C4D" w:rsidRPr="00C44C4D" w:rsidSect="00C44C4D">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4240" w14:textId="77777777" w:rsidR="00E67F91" w:rsidRDefault="00E67F91" w:rsidP="001D4D46">
      <w:pPr>
        <w:spacing w:after="0" w:line="240" w:lineRule="auto"/>
      </w:pPr>
      <w:r>
        <w:separator/>
      </w:r>
    </w:p>
  </w:endnote>
  <w:endnote w:type="continuationSeparator" w:id="0">
    <w:p w14:paraId="4DFE72FE" w14:textId="77777777" w:rsidR="00E67F91" w:rsidRDefault="00E67F91" w:rsidP="001D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2313" w14:textId="77777777" w:rsidR="00C44C4D" w:rsidRDefault="00C44C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2D41" w14:textId="77777777" w:rsidR="00DD750E" w:rsidRPr="006F04B0" w:rsidRDefault="00DD750E" w:rsidP="00DD750E">
    <w:pPr>
      <w:pBdr>
        <w:between w:val="single" w:sz="4" w:space="1" w:color="auto"/>
      </w:pBdr>
      <w:tabs>
        <w:tab w:val="center" w:pos="4819"/>
        <w:tab w:val="right" w:pos="9638"/>
      </w:tabs>
      <w:suppressAutoHyphens/>
      <w:spacing w:after="0" w:line="240" w:lineRule="auto"/>
      <w:rPr>
        <w:rFonts w:ascii="Times New Roman" w:eastAsia="Times New Roman" w:hAnsi="Times New Roman" w:cs="Times New Roman"/>
        <w:sz w:val="24"/>
        <w:szCs w:val="24"/>
        <w:lang w:eastAsia="ar-SA"/>
      </w:rPr>
    </w:pPr>
  </w:p>
  <w:p w14:paraId="4DC8F519" w14:textId="77777777" w:rsidR="00DD750E" w:rsidRPr="006F04B0" w:rsidRDefault="00DD750E" w:rsidP="00DD750E">
    <w:pPr>
      <w:pBdr>
        <w:top w:val="single" w:sz="4" w:space="1" w:color="auto"/>
      </w:pBdr>
      <w:tabs>
        <w:tab w:val="center" w:pos="4819"/>
        <w:tab w:val="right" w:pos="9638"/>
      </w:tabs>
      <w:spacing w:after="0" w:line="240" w:lineRule="auto"/>
      <w:jc w:val="center"/>
      <w:rPr>
        <w:rFonts w:ascii="Book Antiqua" w:eastAsia="Arial" w:hAnsi="Book Antiqua" w:cs="Arial"/>
        <w:sz w:val="16"/>
        <w:szCs w:val="16"/>
        <w:lang w:eastAsia="it-IT"/>
      </w:rPr>
    </w:pPr>
    <w:r w:rsidRPr="006F04B0">
      <w:rPr>
        <w:rFonts w:ascii="Book Antiqua" w:eastAsia="Arial" w:hAnsi="Book Antiqua" w:cs="Arial"/>
        <w:sz w:val="16"/>
        <w:szCs w:val="16"/>
        <w:lang w:eastAsia="it-IT"/>
      </w:rPr>
      <w:t xml:space="preserve">Via Michele </w:t>
    </w:r>
    <w:proofErr w:type="spellStart"/>
    <w:r w:rsidRPr="006F04B0">
      <w:rPr>
        <w:rFonts w:ascii="Book Antiqua" w:eastAsia="Arial" w:hAnsi="Book Antiqua" w:cs="Arial"/>
        <w:sz w:val="16"/>
        <w:szCs w:val="16"/>
        <w:lang w:eastAsia="it-IT"/>
      </w:rPr>
      <w:t>Jacobucci</w:t>
    </w:r>
    <w:proofErr w:type="spellEnd"/>
    <w:r w:rsidRPr="006F04B0">
      <w:rPr>
        <w:rFonts w:ascii="Book Antiqua" w:eastAsia="Arial" w:hAnsi="Book Antiqua" w:cs="Arial"/>
        <w:sz w:val="16"/>
        <w:szCs w:val="16"/>
        <w:lang w:eastAsia="it-IT"/>
      </w:rPr>
      <w:t>, n. 4 – 67100 L’Aquila</w:t>
    </w:r>
  </w:p>
  <w:p w14:paraId="316F9BCC" w14:textId="77777777" w:rsidR="00DD750E" w:rsidRPr="006F04B0" w:rsidRDefault="00DD750E" w:rsidP="00DD750E">
    <w:pPr>
      <w:tabs>
        <w:tab w:val="center" w:pos="4819"/>
        <w:tab w:val="right" w:pos="9638"/>
      </w:tabs>
      <w:spacing w:after="0" w:line="240" w:lineRule="auto"/>
      <w:jc w:val="center"/>
      <w:rPr>
        <w:rFonts w:ascii="Book Antiqua" w:eastAsia="Arial" w:hAnsi="Book Antiqua" w:cs="Arial"/>
        <w:sz w:val="16"/>
        <w:szCs w:val="16"/>
        <w:lang w:eastAsia="it-IT"/>
      </w:rPr>
    </w:pPr>
    <w:r w:rsidRPr="006F04B0">
      <w:rPr>
        <w:rFonts w:ascii="Book Antiqua" w:eastAsia="Arial" w:hAnsi="Book Antiqua" w:cs="Arial"/>
        <w:sz w:val="16"/>
        <w:szCs w:val="16"/>
        <w:lang w:eastAsia="it-IT"/>
      </w:rPr>
      <w:t>Piazza Unione, n. 13/14 – 65100 Pescara</w:t>
    </w:r>
  </w:p>
  <w:p w14:paraId="21B8A12D" w14:textId="77777777" w:rsidR="00DD750E" w:rsidRPr="006F04B0" w:rsidRDefault="00DD750E" w:rsidP="00DD750E">
    <w:pPr>
      <w:tabs>
        <w:tab w:val="center" w:pos="4819"/>
        <w:tab w:val="right" w:pos="9638"/>
      </w:tabs>
      <w:spacing w:after="0" w:line="240" w:lineRule="auto"/>
      <w:jc w:val="center"/>
    </w:pPr>
    <w:r w:rsidRPr="006F04B0">
      <w:rPr>
        <w:rFonts w:ascii="Book Antiqua" w:eastAsia="Arial" w:hAnsi="Book Antiqua" w:cs="Arial"/>
        <w:sz w:val="16"/>
        <w:szCs w:val="16"/>
        <w:lang w:eastAsia="it-IT"/>
      </w:rPr>
      <w:t>E-Mail: silvio.paolucci@crabruzzo.it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4D27" w14:textId="77777777" w:rsidR="00C44C4D" w:rsidRDefault="00C44C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056D1" w14:textId="77777777" w:rsidR="00E67F91" w:rsidRDefault="00E67F91" w:rsidP="001D4D46">
      <w:pPr>
        <w:spacing w:after="0" w:line="240" w:lineRule="auto"/>
      </w:pPr>
      <w:r>
        <w:separator/>
      </w:r>
    </w:p>
  </w:footnote>
  <w:footnote w:type="continuationSeparator" w:id="0">
    <w:p w14:paraId="0F9370C7" w14:textId="77777777" w:rsidR="00E67F91" w:rsidRDefault="00E67F91" w:rsidP="001D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7339" w14:textId="77777777" w:rsidR="00C44C4D" w:rsidRDefault="00C44C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1042" w14:textId="5252CD3D" w:rsidR="00DD750E" w:rsidRDefault="00DD750E" w:rsidP="00DD750E">
    <w:pPr>
      <w:pStyle w:val="Intestazione"/>
      <w:pBdr>
        <w:between w:val="single" w:sz="4" w:space="1" w:color="auto"/>
      </w:pBdr>
    </w:pPr>
    <w:r>
      <w:rPr>
        <w:noProof/>
        <w:lang w:eastAsia="it-IT"/>
      </w:rPr>
      <w:drawing>
        <wp:inline distT="0" distB="0" distL="0" distR="0" wp14:anchorId="1B075B0A" wp14:editId="043C4A81">
          <wp:extent cx="2194560" cy="62039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2194560" cy="620395"/>
                  </a:xfrm>
                  <a:prstGeom prst="rect">
                    <a:avLst/>
                  </a:prstGeom>
                  <a:noFill/>
                  <a:ln w="9525">
                    <a:noFill/>
                    <a:miter lim="800000"/>
                    <a:headEnd/>
                    <a:tailEnd/>
                  </a:ln>
                </pic:spPr>
              </pic:pic>
            </a:graphicData>
          </a:graphic>
        </wp:inline>
      </w:drawing>
    </w:r>
  </w:p>
  <w:p w14:paraId="5C3BA0D9" w14:textId="77777777" w:rsidR="00DD750E" w:rsidRDefault="00DD750E" w:rsidP="00DD750E">
    <w:pPr>
      <w:pStyle w:val="Intestazione"/>
      <w:pBdr>
        <w:between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7247" w14:textId="77777777" w:rsidR="00C44C4D" w:rsidRDefault="00C44C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E3C2E"/>
    <w:multiLevelType w:val="hybridMultilevel"/>
    <w:tmpl w:val="3C6080C0"/>
    <w:lvl w:ilvl="0" w:tplc="EF4834CA">
      <w:start w:val="1"/>
      <w:numFmt w:val="decimal"/>
      <w:lvlText w:val="%1."/>
      <w:lvlJc w:val="left"/>
      <w:pPr>
        <w:ind w:left="720" w:hanging="360"/>
      </w:pPr>
      <w:rPr>
        <w:rFonts w:ascii="Arial Narrow" w:hAnsi="Arial Narrow" w:hint="default"/>
        <w:sz w:val="28"/>
        <w:szCs w:val="28"/>
      </w:rPr>
    </w:lvl>
    <w:lvl w:ilvl="1" w:tplc="04100019">
      <w:start w:val="1"/>
      <w:numFmt w:val="lowerLetter"/>
      <w:lvlText w:val="%2."/>
      <w:lvlJc w:val="left"/>
      <w:pPr>
        <w:ind w:left="1440" w:hanging="360"/>
      </w:pPr>
    </w:lvl>
    <w:lvl w:ilvl="2" w:tplc="04100011">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4D"/>
    <w:rsid w:val="000C2C23"/>
    <w:rsid w:val="001D4D46"/>
    <w:rsid w:val="004B7489"/>
    <w:rsid w:val="005D47D1"/>
    <w:rsid w:val="007B4843"/>
    <w:rsid w:val="00823DB6"/>
    <w:rsid w:val="00C44C4D"/>
    <w:rsid w:val="00C75676"/>
    <w:rsid w:val="00DD750E"/>
    <w:rsid w:val="00E6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2EF5D"/>
  <w15:chartTrackingRefBased/>
  <w15:docId w15:val="{B87972A3-1557-4E29-8BFA-3EBAFCAE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4C4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D4D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D4D46"/>
  </w:style>
  <w:style w:type="paragraph" w:styleId="Pidipagina">
    <w:name w:val="footer"/>
    <w:basedOn w:val="Normale"/>
    <w:link w:val="PidipaginaCarattere"/>
    <w:uiPriority w:val="99"/>
    <w:unhideWhenUsed/>
    <w:rsid w:val="001D4D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D46"/>
  </w:style>
  <w:style w:type="paragraph" w:styleId="Paragrafoelenco">
    <w:name w:val="List Paragraph"/>
    <w:basedOn w:val="Normale"/>
    <w:uiPriority w:val="34"/>
    <w:qFormat/>
    <w:rsid w:val="00C44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Documents\Modelli%20di%20Office%20personalizzati\Carta%20intestata%20Silvio%20Paolucc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ocumenti Silvio Paolucci">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E372-DFF3-41E2-84B9-C7C7095E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Silvio Paolucci.dotx</Template>
  <TotalTime>21</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Di Nicola</dc:creator>
  <cp:keywords/>
  <dc:description/>
  <cp:lastModifiedBy>Marco Di Nicola</cp:lastModifiedBy>
  <cp:revision>2</cp:revision>
  <cp:lastPrinted>2022-11-23T10:29:00Z</cp:lastPrinted>
  <dcterms:created xsi:type="dcterms:W3CDTF">2022-11-23T10:26:00Z</dcterms:created>
  <dcterms:modified xsi:type="dcterms:W3CDTF">2022-11-24T08:54:00Z</dcterms:modified>
</cp:coreProperties>
</file>